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38C810" w14:textId="77777777" w:rsidR="00000349" w:rsidRDefault="00000349" w:rsidP="00192F3D">
      <w:pPr>
        <w:spacing w:line="240" w:lineRule="auto"/>
        <w:rPr>
          <w:rFonts w:ascii="Times New Roman" w:hAnsi="Times New Roman" w:cs="Times New Roman"/>
          <w:b/>
          <w:bCs/>
        </w:rPr>
      </w:pPr>
      <w:r w:rsidRPr="00000349">
        <w:rPr>
          <w:rFonts w:ascii="Times New Roman" w:hAnsi="Times New Roman" w:cs="Times New Roman"/>
          <w:b/>
          <w:bCs/>
        </w:rPr>
        <w:t>Comprehensive evaluation of diverse massively parallel reporter assays to functionally characterize human enhancers genome-wide</w:t>
      </w:r>
    </w:p>
    <w:p w14:paraId="1F91F9AA" w14:textId="77777777" w:rsidR="00192F3D" w:rsidRDefault="00000349" w:rsidP="00192F3D">
      <w:pPr>
        <w:spacing w:line="240" w:lineRule="auto"/>
        <w:rPr>
          <w:rFonts w:ascii="Times New Roman" w:hAnsi="Times New Roman" w:cs="Times New Roman"/>
          <w:b/>
          <w:bCs/>
        </w:rPr>
      </w:pPr>
      <w:r w:rsidRPr="00000349">
        <w:rPr>
          <w:rFonts w:ascii="Times New Roman" w:hAnsi="Times New Roman" w:cs="Times New Roman"/>
        </w:rPr>
        <w:t>Junke Zhang</w:t>
      </w:r>
      <w:r w:rsidRPr="00000349">
        <w:rPr>
          <w:rFonts w:ascii="Times New Roman" w:hAnsi="Times New Roman" w:cs="Times New Roman"/>
          <w:vertAlign w:val="superscript"/>
        </w:rPr>
        <w:t>1,2</w:t>
      </w:r>
      <w:r w:rsidRPr="00000349">
        <w:rPr>
          <w:rFonts w:ascii="Times New Roman" w:hAnsi="Times New Roman" w:cs="Times New Roman"/>
        </w:rPr>
        <w:t>, Alden King-Yung Leung</w:t>
      </w:r>
      <w:r w:rsidRPr="00000349">
        <w:rPr>
          <w:rFonts w:ascii="Times New Roman" w:hAnsi="Times New Roman" w:cs="Times New Roman"/>
          <w:vertAlign w:val="superscript"/>
        </w:rPr>
        <w:t>2</w:t>
      </w:r>
      <w:r w:rsidRPr="00000349">
        <w:rPr>
          <w:rFonts w:ascii="Times New Roman" w:hAnsi="Times New Roman" w:cs="Times New Roman"/>
        </w:rPr>
        <w:t>, Yutong Zhu</w:t>
      </w:r>
      <w:r w:rsidRPr="00000349">
        <w:rPr>
          <w:rFonts w:ascii="Times New Roman" w:hAnsi="Times New Roman" w:cs="Times New Roman"/>
          <w:vertAlign w:val="superscript"/>
        </w:rPr>
        <w:t>1,2</w:t>
      </w:r>
      <w:r w:rsidRPr="00000349">
        <w:rPr>
          <w:rFonts w:ascii="Times New Roman" w:hAnsi="Times New Roman" w:cs="Times New Roman"/>
        </w:rPr>
        <w:t>, Li Yao</w:t>
      </w:r>
      <w:r w:rsidRPr="00000349">
        <w:rPr>
          <w:rFonts w:ascii="Times New Roman" w:hAnsi="Times New Roman" w:cs="Times New Roman"/>
          <w:vertAlign w:val="superscript"/>
        </w:rPr>
        <w:t>1,2</w:t>
      </w:r>
      <w:r w:rsidRPr="00000349">
        <w:rPr>
          <w:rFonts w:ascii="Times New Roman" w:hAnsi="Times New Roman" w:cs="Times New Roman"/>
        </w:rPr>
        <w:t>, Avery Willis</w:t>
      </w:r>
      <w:r w:rsidRPr="00000349">
        <w:rPr>
          <w:rFonts w:ascii="Times New Roman" w:hAnsi="Times New Roman" w:cs="Times New Roman"/>
          <w:vertAlign w:val="superscript"/>
        </w:rPr>
        <w:t>2</w:t>
      </w:r>
      <w:r w:rsidRPr="00000349">
        <w:rPr>
          <w:rFonts w:ascii="Times New Roman" w:hAnsi="Times New Roman" w:cs="Times New Roman"/>
        </w:rPr>
        <w:t xml:space="preserve">, </w:t>
      </w:r>
      <w:proofErr w:type="spellStart"/>
      <w:r w:rsidRPr="00000349">
        <w:rPr>
          <w:rFonts w:ascii="Times New Roman" w:hAnsi="Times New Roman" w:cs="Times New Roman"/>
        </w:rPr>
        <w:t>Xiuqi</w:t>
      </w:r>
      <w:proofErr w:type="spellEnd"/>
      <w:r w:rsidRPr="00000349">
        <w:rPr>
          <w:rFonts w:ascii="Times New Roman" w:hAnsi="Times New Roman" w:cs="Times New Roman"/>
        </w:rPr>
        <w:t xml:space="preserve"> Pan</w:t>
      </w:r>
      <w:r w:rsidRPr="00000349">
        <w:rPr>
          <w:rFonts w:ascii="Times New Roman" w:hAnsi="Times New Roman" w:cs="Times New Roman"/>
          <w:vertAlign w:val="superscript"/>
        </w:rPr>
        <w:t>2,3</w:t>
      </w:r>
      <w:r w:rsidRPr="00000349">
        <w:rPr>
          <w:rFonts w:ascii="Times New Roman" w:hAnsi="Times New Roman" w:cs="Times New Roman"/>
        </w:rPr>
        <w:t>, Abdullah Ozer</w:t>
      </w:r>
      <w:r w:rsidRPr="00000349">
        <w:rPr>
          <w:rFonts w:ascii="Times New Roman" w:hAnsi="Times New Roman" w:cs="Times New Roman"/>
          <w:vertAlign w:val="superscript"/>
        </w:rPr>
        <w:t>3</w:t>
      </w:r>
      <w:r w:rsidRPr="00000349">
        <w:rPr>
          <w:rFonts w:ascii="Times New Roman" w:hAnsi="Times New Roman" w:cs="Times New Roman"/>
        </w:rPr>
        <w:t>, Zhou Zhou</w:t>
      </w:r>
      <w:r w:rsidRPr="00000349">
        <w:rPr>
          <w:rFonts w:ascii="Times New Roman" w:hAnsi="Times New Roman" w:cs="Times New Roman"/>
          <w:vertAlign w:val="superscript"/>
        </w:rPr>
        <w:t>3</w:t>
      </w:r>
      <w:r w:rsidRPr="00000349">
        <w:rPr>
          <w:rFonts w:ascii="Times New Roman" w:hAnsi="Times New Roman" w:cs="Times New Roman"/>
        </w:rPr>
        <w:t>, Keith Siklenka</w:t>
      </w:r>
      <w:r w:rsidRPr="00000349">
        <w:rPr>
          <w:rFonts w:ascii="Times New Roman" w:hAnsi="Times New Roman" w:cs="Times New Roman"/>
          <w:vertAlign w:val="superscript"/>
        </w:rPr>
        <w:t>5</w:t>
      </w:r>
      <w:r w:rsidRPr="00000349">
        <w:rPr>
          <w:rFonts w:ascii="Times New Roman" w:hAnsi="Times New Roman" w:cs="Times New Roman"/>
        </w:rPr>
        <w:t>, Alejandro Barrera</w:t>
      </w:r>
      <w:r w:rsidRPr="00000349">
        <w:rPr>
          <w:rFonts w:ascii="Times New Roman" w:hAnsi="Times New Roman" w:cs="Times New Roman"/>
          <w:vertAlign w:val="superscript"/>
        </w:rPr>
        <w:t>5</w:t>
      </w:r>
      <w:r w:rsidRPr="00000349">
        <w:rPr>
          <w:rFonts w:ascii="Times New Roman" w:hAnsi="Times New Roman" w:cs="Times New Roman"/>
        </w:rPr>
        <w:t>, Jin Liang</w:t>
      </w:r>
      <w:r w:rsidRPr="00000349">
        <w:rPr>
          <w:rFonts w:ascii="Times New Roman" w:hAnsi="Times New Roman" w:cs="Times New Roman"/>
          <w:vertAlign w:val="superscript"/>
        </w:rPr>
        <w:t>2</w:t>
      </w:r>
      <w:r w:rsidRPr="00000349">
        <w:rPr>
          <w:rFonts w:ascii="Times New Roman" w:hAnsi="Times New Roman" w:cs="Times New Roman"/>
        </w:rPr>
        <w:t>, Nathaniel D. Tippens</w:t>
      </w:r>
      <w:r w:rsidRPr="00000349">
        <w:rPr>
          <w:rFonts w:ascii="Times New Roman" w:hAnsi="Times New Roman" w:cs="Times New Roman"/>
          <w:vertAlign w:val="superscript"/>
        </w:rPr>
        <w:t>1,2,3,4</w:t>
      </w:r>
      <w:r w:rsidRPr="00000349">
        <w:rPr>
          <w:rFonts w:ascii="Times New Roman" w:hAnsi="Times New Roman" w:cs="Times New Roman"/>
        </w:rPr>
        <w:t>, Timothy E. Reddy</w:t>
      </w:r>
      <w:r w:rsidRPr="00000349">
        <w:rPr>
          <w:rFonts w:ascii="Times New Roman" w:hAnsi="Times New Roman" w:cs="Times New Roman"/>
          <w:vertAlign w:val="superscript"/>
        </w:rPr>
        <w:t>5</w:t>
      </w:r>
      <w:r w:rsidRPr="00000349">
        <w:rPr>
          <w:rFonts w:ascii="Times New Roman" w:hAnsi="Times New Roman" w:cs="Times New Roman"/>
        </w:rPr>
        <w:t>, John T. Lis</w:t>
      </w:r>
      <w:r w:rsidRPr="00000349">
        <w:rPr>
          <w:rFonts w:ascii="Times New Roman" w:hAnsi="Times New Roman" w:cs="Times New Roman"/>
          <w:vertAlign w:val="superscript"/>
        </w:rPr>
        <w:t>1,3,4,6</w:t>
      </w:r>
      <w:r w:rsidRPr="00000349">
        <w:rPr>
          <w:rFonts w:ascii="Times New Roman" w:hAnsi="Times New Roman" w:cs="Times New Roman"/>
        </w:rPr>
        <w:t xml:space="preserve">, </w:t>
      </w:r>
      <w:proofErr w:type="spellStart"/>
      <w:r w:rsidRPr="00000349">
        <w:rPr>
          <w:rFonts w:ascii="Times New Roman" w:hAnsi="Times New Roman" w:cs="Times New Roman"/>
        </w:rPr>
        <w:t>Haiyuan</w:t>
      </w:r>
      <w:proofErr w:type="spellEnd"/>
      <w:r w:rsidRPr="00000349">
        <w:rPr>
          <w:rFonts w:ascii="Times New Roman" w:hAnsi="Times New Roman" w:cs="Times New Roman"/>
        </w:rPr>
        <w:t xml:space="preserve"> Yu</w:t>
      </w:r>
      <w:r w:rsidRPr="00000349">
        <w:rPr>
          <w:rFonts w:ascii="Times New Roman" w:hAnsi="Times New Roman" w:cs="Times New Roman"/>
          <w:vertAlign w:val="superscript"/>
        </w:rPr>
        <w:t>1,2,4,6</w:t>
      </w:r>
      <w:r w:rsidRPr="00000349">
        <w:rPr>
          <w:rFonts w:ascii="Times New Roman" w:hAnsi="Times New Roman" w:cs="Times New Roman"/>
        </w:rPr>
        <w:t xml:space="preserve"> </w:t>
      </w:r>
    </w:p>
    <w:p w14:paraId="09D88633" w14:textId="4BA1F71D" w:rsidR="00000349" w:rsidRPr="00192F3D" w:rsidRDefault="00000349" w:rsidP="00192F3D">
      <w:pPr>
        <w:spacing w:line="240" w:lineRule="auto"/>
        <w:rPr>
          <w:rFonts w:ascii="Times New Roman" w:hAnsi="Times New Roman" w:cs="Times New Roman"/>
          <w:b/>
          <w:bCs/>
        </w:rPr>
      </w:pPr>
      <w:r w:rsidRPr="00000349">
        <w:rPr>
          <w:rFonts w:ascii="Times New Roman" w:hAnsi="Times New Roman" w:cs="Times New Roman"/>
          <w:vertAlign w:val="superscript"/>
        </w:rPr>
        <w:t>1</w:t>
      </w:r>
      <w:r w:rsidRPr="00000349">
        <w:rPr>
          <w:rFonts w:ascii="Times New Roman" w:hAnsi="Times New Roman" w:cs="Times New Roman"/>
        </w:rPr>
        <w:t>Department of Computational Biology, Cornell University, Ithaca, NY, USA</w:t>
      </w:r>
    </w:p>
    <w:p w14:paraId="52A118F6" w14:textId="77777777" w:rsidR="00000349" w:rsidRPr="00000349" w:rsidRDefault="00000349" w:rsidP="00192F3D">
      <w:pPr>
        <w:spacing w:line="240" w:lineRule="auto"/>
        <w:rPr>
          <w:rFonts w:ascii="Times New Roman" w:hAnsi="Times New Roman" w:cs="Times New Roman"/>
        </w:rPr>
      </w:pPr>
      <w:r w:rsidRPr="00000349">
        <w:rPr>
          <w:rFonts w:ascii="Times New Roman" w:hAnsi="Times New Roman" w:cs="Times New Roman"/>
          <w:vertAlign w:val="superscript"/>
        </w:rPr>
        <w:t>2</w:t>
      </w:r>
      <w:r w:rsidRPr="00000349">
        <w:rPr>
          <w:rFonts w:ascii="Times New Roman" w:hAnsi="Times New Roman" w:cs="Times New Roman"/>
        </w:rPr>
        <w:t>Weill Institute for Cell and Molecular Biology, Cornell University, Ithaca, NY, USA</w:t>
      </w:r>
    </w:p>
    <w:p w14:paraId="09476552" w14:textId="77777777" w:rsidR="00000349" w:rsidRPr="00000349" w:rsidRDefault="00000349" w:rsidP="00192F3D">
      <w:pPr>
        <w:spacing w:line="240" w:lineRule="auto"/>
        <w:rPr>
          <w:rFonts w:ascii="Times New Roman" w:hAnsi="Times New Roman" w:cs="Times New Roman"/>
        </w:rPr>
      </w:pPr>
      <w:r w:rsidRPr="00000349">
        <w:rPr>
          <w:rFonts w:ascii="Times New Roman" w:hAnsi="Times New Roman" w:cs="Times New Roman"/>
          <w:vertAlign w:val="superscript"/>
        </w:rPr>
        <w:t>3</w:t>
      </w:r>
      <w:r w:rsidRPr="00000349">
        <w:rPr>
          <w:rFonts w:ascii="Times New Roman" w:hAnsi="Times New Roman" w:cs="Times New Roman"/>
        </w:rPr>
        <w:t>Department of Molecular Biology and Genetics, Cornell University, Ithaca, NY, USA</w:t>
      </w:r>
    </w:p>
    <w:p w14:paraId="1306A700" w14:textId="77777777" w:rsidR="00000349" w:rsidRPr="00000349" w:rsidRDefault="00000349" w:rsidP="00192F3D">
      <w:pPr>
        <w:spacing w:line="240" w:lineRule="auto"/>
        <w:rPr>
          <w:rFonts w:ascii="Times New Roman" w:hAnsi="Times New Roman" w:cs="Times New Roman"/>
        </w:rPr>
      </w:pPr>
      <w:r w:rsidRPr="00000349">
        <w:rPr>
          <w:rFonts w:ascii="Times New Roman" w:hAnsi="Times New Roman" w:cs="Times New Roman"/>
          <w:vertAlign w:val="superscript"/>
        </w:rPr>
        <w:t>4</w:t>
      </w:r>
      <w:r w:rsidRPr="00000349">
        <w:rPr>
          <w:rFonts w:ascii="Times New Roman" w:hAnsi="Times New Roman" w:cs="Times New Roman"/>
        </w:rPr>
        <w:t>Tri-Institutional Training Program in Computational Biology and Medicine, Cornell University, Ithaca, NY, USA</w:t>
      </w:r>
    </w:p>
    <w:p w14:paraId="014164EC" w14:textId="77777777" w:rsidR="00000349" w:rsidRPr="00000349" w:rsidRDefault="00000349" w:rsidP="00192F3D">
      <w:pPr>
        <w:spacing w:line="240" w:lineRule="auto"/>
        <w:rPr>
          <w:rFonts w:ascii="Times New Roman" w:hAnsi="Times New Roman" w:cs="Times New Roman"/>
        </w:rPr>
      </w:pPr>
      <w:r w:rsidRPr="00000349">
        <w:rPr>
          <w:rFonts w:ascii="Times New Roman" w:hAnsi="Times New Roman" w:cs="Times New Roman"/>
          <w:vertAlign w:val="superscript"/>
        </w:rPr>
        <w:t>5</w:t>
      </w:r>
      <w:r w:rsidRPr="00000349">
        <w:rPr>
          <w:rFonts w:ascii="Times New Roman" w:hAnsi="Times New Roman" w:cs="Times New Roman"/>
        </w:rPr>
        <w:t>Department of Biostatistics and Bioinformatics, Duke University</w:t>
      </w:r>
    </w:p>
    <w:p w14:paraId="44C974DF" w14:textId="77777777" w:rsidR="00000349" w:rsidRPr="00000349" w:rsidRDefault="00000349" w:rsidP="00192F3D">
      <w:pPr>
        <w:spacing w:line="240" w:lineRule="auto"/>
        <w:rPr>
          <w:rFonts w:ascii="Times New Roman" w:hAnsi="Times New Roman" w:cs="Times New Roman"/>
          <w:vertAlign w:val="superscript"/>
        </w:rPr>
      </w:pPr>
    </w:p>
    <w:p w14:paraId="7F955F42" w14:textId="77777777" w:rsidR="00000349" w:rsidRPr="00000349" w:rsidRDefault="00000349" w:rsidP="00192F3D">
      <w:pPr>
        <w:spacing w:line="240" w:lineRule="auto"/>
        <w:rPr>
          <w:rFonts w:ascii="Times New Roman" w:hAnsi="Times New Roman" w:cs="Times New Roman"/>
        </w:rPr>
      </w:pPr>
      <w:r w:rsidRPr="00000349">
        <w:rPr>
          <w:rFonts w:ascii="Times New Roman" w:hAnsi="Times New Roman" w:cs="Times New Roman"/>
          <w:vertAlign w:val="superscript"/>
        </w:rPr>
        <w:t>6</w:t>
      </w:r>
      <w:r w:rsidRPr="00000349">
        <w:rPr>
          <w:rFonts w:ascii="Times New Roman" w:hAnsi="Times New Roman" w:cs="Times New Roman"/>
        </w:rPr>
        <w:t>Correspondence to:</w:t>
      </w:r>
    </w:p>
    <w:p w14:paraId="5138A4C4" w14:textId="5553ABDF" w:rsidR="00332AFC" w:rsidRDefault="00000349" w:rsidP="00192F3D">
      <w:pPr>
        <w:pStyle w:val="NormalWeb"/>
        <w:spacing w:before="0" w:beforeAutospacing="0" w:after="0" w:afterAutospacing="0"/>
      </w:pPr>
      <w:r w:rsidRPr="00000349">
        <w:t>John T. Lis (</w:t>
      </w:r>
      <w:hyperlink r:id="rId4" w:history="1">
        <w:r w:rsidRPr="00000349">
          <w:rPr>
            <w:rStyle w:val="Hyperlink"/>
          </w:rPr>
          <w:t>johnlis@cornell.edu</w:t>
        </w:r>
      </w:hyperlink>
      <w:r w:rsidRPr="00000349">
        <w:t xml:space="preserve">) &amp; </w:t>
      </w:r>
      <w:proofErr w:type="spellStart"/>
      <w:r w:rsidRPr="00000349">
        <w:t>Haiyuan</w:t>
      </w:r>
      <w:proofErr w:type="spellEnd"/>
      <w:r w:rsidRPr="00000349">
        <w:t xml:space="preserve"> Yu (</w:t>
      </w:r>
      <w:hyperlink r:id="rId5" w:history="1">
        <w:r w:rsidRPr="00000349">
          <w:rPr>
            <w:rStyle w:val="Hyperlink"/>
          </w:rPr>
          <w:t>haiyuan.yu@cornell.edu</w:t>
        </w:r>
      </w:hyperlink>
      <w:r w:rsidRPr="00000349">
        <w:t>)</w:t>
      </w:r>
    </w:p>
    <w:p w14:paraId="05F567AD" w14:textId="77777777" w:rsidR="00332AFC" w:rsidRDefault="00332AFC">
      <w:pPr>
        <w:rPr>
          <w:rFonts w:ascii="Times New Roman" w:eastAsia="Times New Roman" w:hAnsi="Times New Roman" w:cs="Times New Roman"/>
          <w:kern w:val="0"/>
          <w14:ligatures w14:val="none"/>
        </w:rPr>
      </w:pPr>
      <w:r>
        <w:br w:type="page"/>
      </w:r>
    </w:p>
    <w:p w14:paraId="14567F05" w14:textId="77777777" w:rsidR="00000349" w:rsidRPr="00000349" w:rsidRDefault="00000349" w:rsidP="00192F3D">
      <w:pPr>
        <w:pStyle w:val="NormalWeb"/>
        <w:spacing w:before="0" w:beforeAutospacing="0" w:after="0" w:afterAutospacing="0"/>
      </w:pPr>
    </w:p>
    <w:p w14:paraId="24E167F7" w14:textId="29976533" w:rsidR="00000349" w:rsidRDefault="003B2E00" w:rsidP="00000349">
      <w:pPr>
        <w:pStyle w:val="NormalWeb"/>
        <w:spacing w:before="0" w:beforeAutospacing="0" w:after="0" w:afterAutospacing="0"/>
      </w:pPr>
      <w:r>
        <w:rPr>
          <w:noProof/>
          <w14:ligatures w14:val="standardContextual"/>
        </w:rPr>
        <w:drawing>
          <wp:inline distT="0" distB="0" distL="0" distR="0" wp14:anchorId="30122CD2" wp14:editId="08DC1366">
            <wp:extent cx="5829300" cy="7543800"/>
            <wp:effectExtent l="0" t="0" r="0" b="0"/>
            <wp:docPr id="146671197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6711979" name="Graphic 1466711979"/>
                    <pic:cNvPicPr/>
                  </pic:nvPicPr>
                  <pic:blipFill>
                    <a:blip r:embed="rId6">
                      <a:extLst>
                        <a:ext uri="{96DAC541-7B7A-43D3-8B79-37D633B846F1}">
                          <asvg:svgBlip xmlns:asvg="http://schemas.microsoft.com/office/drawing/2016/SVG/main" r:embed="rId7"/>
                        </a:ext>
                      </a:extLst>
                    </a:blip>
                    <a:stretch>
                      <a:fillRect/>
                    </a:stretch>
                  </pic:blipFill>
                  <pic:spPr>
                    <a:xfrm>
                      <a:off x="0" y="0"/>
                      <a:ext cx="5829300" cy="7543800"/>
                    </a:xfrm>
                    <a:prstGeom prst="rect">
                      <a:avLst/>
                    </a:prstGeom>
                  </pic:spPr>
                </pic:pic>
              </a:graphicData>
            </a:graphic>
          </wp:inline>
        </w:drawing>
      </w:r>
    </w:p>
    <w:p w14:paraId="25269A54" w14:textId="77777777" w:rsidR="00332AFC" w:rsidRDefault="00332AFC">
      <w:pPr>
        <w:rPr>
          <w:rFonts w:ascii="Times New Roman" w:eastAsia="Times New Roman" w:hAnsi="Times New Roman" w:cs="Times New Roman"/>
          <w:b/>
          <w:bCs/>
          <w:color w:val="000000"/>
          <w:kern w:val="0"/>
          <w14:ligatures w14:val="none"/>
        </w:rPr>
      </w:pPr>
      <w:r>
        <w:rPr>
          <w:b/>
          <w:bCs/>
          <w:color w:val="000000"/>
        </w:rPr>
        <w:br w:type="page"/>
      </w:r>
    </w:p>
    <w:p w14:paraId="6A3C0FB5" w14:textId="12A37E07" w:rsidR="00F70568" w:rsidRPr="00225DF3" w:rsidRDefault="00F70568" w:rsidP="00F70568">
      <w:pPr>
        <w:pStyle w:val="NormalWeb"/>
        <w:spacing w:before="0" w:beforeAutospacing="0" w:after="0" w:afterAutospacing="0"/>
      </w:pPr>
      <w:r w:rsidRPr="00225DF3">
        <w:rPr>
          <w:b/>
          <w:bCs/>
          <w:color w:val="000000"/>
        </w:rPr>
        <w:lastRenderedPageBreak/>
        <w:t xml:space="preserve">Figure </w:t>
      </w:r>
      <w:r>
        <w:rPr>
          <w:b/>
          <w:bCs/>
          <w:color w:val="000000"/>
        </w:rPr>
        <w:t>S</w:t>
      </w:r>
      <w:r w:rsidRPr="00225DF3">
        <w:rPr>
          <w:b/>
          <w:bCs/>
          <w:color w:val="000000"/>
        </w:rPr>
        <w:t xml:space="preserve">1. Schematic </w:t>
      </w:r>
      <w:r>
        <w:rPr>
          <w:b/>
          <w:bCs/>
          <w:color w:val="000000"/>
        </w:rPr>
        <w:t>r</w:t>
      </w:r>
      <w:r w:rsidRPr="00225DF3">
        <w:rPr>
          <w:b/>
          <w:bCs/>
          <w:color w:val="000000"/>
        </w:rPr>
        <w:t xml:space="preserve">epresentation of </w:t>
      </w:r>
      <w:r>
        <w:rPr>
          <w:b/>
          <w:bCs/>
          <w:color w:val="000000"/>
        </w:rPr>
        <w:t>o</w:t>
      </w:r>
      <w:r w:rsidRPr="00225DF3">
        <w:rPr>
          <w:b/>
          <w:bCs/>
          <w:color w:val="000000"/>
        </w:rPr>
        <w:t xml:space="preserve">verlap </w:t>
      </w:r>
      <w:r>
        <w:rPr>
          <w:b/>
          <w:bCs/>
          <w:color w:val="000000"/>
        </w:rPr>
        <w:t>c</w:t>
      </w:r>
      <w:r w:rsidRPr="00225DF3">
        <w:rPr>
          <w:b/>
          <w:bCs/>
          <w:color w:val="000000"/>
        </w:rPr>
        <w:t>riteria</w:t>
      </w:r>
      <w:r>
        <w:rPr>
          <w:b/>
          <w:bCs/>
          <w:color w:val="000000"/>
        </w:rPr>
        <w:t xml:space="preserve"> and illustration of assayed coverage</w:t>
      </w:r>
    </w:p>
    <w:p w14:paraId="1D33700B" w14:textId="77777777" w:rsidR="00F70568" w:rsidRPr="00225DF3" w:rsidRDefault="00F70568" w:rsidP="00F70568">
      <w:pPr>
        <w:pStyle w:val="NormalWeb"/>
        <w:spacing w:before="0" w:beforeAutospacing="0" w:after="0" w:afterAutospacing="0"/>
      </w:pPr>
      <w:r w:rsidRPr="00225DF3">
        <w:rPr>
          <w:b/>
          <w:bCs/>
          <w:color w:val="000000"/>
        </w:rPr>
        <w:t>(a)</w:t>
      </w:r>
      <w:r w:rsidRPr="00225DF3">
        <w:rPr>
          <w:color w:val="000000"/>
        </w:rPr>
        <w:t xml:space="preserve"> No overlap between regions A and B. </w:t>
      </w:r>
    </w:p>
    <w:p w14:paraId="595E0EF1" w14:textId="77777777" w:rsidR="00F70568" w:rsidRPr="00225DF3" w:rsidRDefault="00F70568" w:rsidP="00F70568">
      <w:pPr>
        <w:pStyle w:val="NormalWeb"/>
        <w:spacing w:before="0" w:beforeAutospacing="0" w:after="0" w:afterAutospacing="0"/>
      </w:pPr>
      <w:r w:rsidRPr="00225DF3">
        <w:rPr>
          <w:b/>
          <w:bCs/>
          <w:color w:val="000000"/>
        </w:rPr>
        <w:t>(b)</w:t>
      </w:r>
      <w:r w:rsidRPr="00225DF3">
        <w:rPr>
          <w:color w:val="000000"/>
        </w:rPr>
        <w:t xml:space="preserve"> 1-bp overlap between regions A and B. </w:t>
      </w:r>
    </w:p>
    <w:p w14:paraId="08700F31" w14:textId="77777777" w:rsidR="00F70568" w:rsidRPr="00225DF3" w:rsidRDefault="00F70568" w:rsidP="00F70568">
      <w:pPr>
        <w:pStyle w:val="NormalWeb"/>
        <w:spacing w:before="0" w:beforeAutospacing="0" w:after="0" w:afterAutospacing="0"/>
      </w:pPr>
      <w:r w:rsidRPr="00225DF3">
        <w:rPr>
          <w:b/>
          <w:bCs/>
          <w:color w:val="000000"/>
        </w:rPr>
        <w:t>(c)</w:t>
      </w:r>
      <w:r w:rsidRPr="00225DF3">
        <w:rPr>
          <w:color w:val="000000"/>
        </w:rPr>
        <w:t xml:space="preserve"> </w:t>
      </w:r>
      <w:r w:rsidRPr="00225DF3">
        <w:rPr>
          <w:color w:val="0E0E0E"/>
        </w:rPr>
        <w:t>≥50% reciprocal overlap between regions A and B, where both regions share at least 50% of their length with one another. </w:t>
      </w:r>
    </w:p>
    <w:p w14:paraId="4E0383E5" w14:textId="77777777" w:rsidR="00F70568" w:rsidRDefault="00F70568" w:rsidP="00F70568">
      <w:pPr>
        <w:pStyle w:val="NormalWeb"/>
        <w:spacing w:before="0" w:beforeAutospacing="0" w:after="0" w:afterAutospacing="0"/>
        <w:rPr>
          <w:color w:val="0E0E0E"/>
        </w:rPr>
      </w:pPr>
      <w:r w:rsidRPr="00225DF3">
        <w:rPr>
          <w:b/>
          <w:bCs/>
          <w:color w:val="0E0E0E"/>
        </w:rPr>
        <w:t>(d)</w:t>
      </w:r>
      <w:r w:rsidRPr="00225DF3">
        <w:rPr>
          <w:color w:val="0E0E0E"/>
        </w:rPr>
        <w:t xml:space="preserve"> ≥80% reciprocal overlap between regions A and B, where both regions share at least 80% of their length with one another.</w:t>
      </w:r>
    </w:p>
    <w:p w14:paraId="77E7D1C3" w14:textId="77777777" w:rsidR="00F70568" w:rsidRDefault="00F70568" w:rsidP="00F70568">
      <w:pPr>
        <w:pStyle w:val="NormalWeb"/>
        <w:spacing w:before="0" w:beforeAutospacing="0" w:after="0" w:afterAutospacing="0"/>
        <w:rPr>
          <w:color w:val="000000"/>
        </w:rPr>
      </w:pPr>
      <w:r w:rsidRPr="00617182">
        <w:rPr>
          <w:b/>
          <w:bCs/>
          <w:color w:val="000000"/>
        </w:rPr>
        <w:t>(</w:t>
      </w:r>
      <w:r>
        <w:rPr>
          <w:b/>
          <w:bCs/>
          <w:color w:val="000000"/>
        </w:rPr>
        <w:t>e</w:t>
      </w:r>
      <w:r w:rsidRPr="00617182">
        <w:rPr>
          <w:b/>
          <w:bCs/>
          <w:color w:val="000000"/>
        </w:rPr>
        <w:t>)</w:t>
      </w:r>
      <w:r w:rsidRPr="00283B99">
        <w:rPr>
          <w:color w:val="000000"/>
        </w:rPr>
        <w:t xml:space="preserve"> Schematic illustration of assayed coverage and tested coverage of reporter assays, distinguishing the proportion of the genome initially assayed versus the regions effectively tested for enhancer activity. </w:t>
      </w:r>
    </w:p>
    <w:p w14:paraId="010A9899" w14:textId="0E8CC4FB" w:rsidR="00332AFC" w:rsidRDefault="00332AFC">
      <w:pPr>
        <w:rPr>
          <w:rFonts w:ascii="Times New Roman" w:eastAsia="Times New Roman" w:hAnsi="Times New Roman" w:cs="Times New Roman"/>
          <w:color w:val="000000"/>
          <w:kern w:val="0"/>
          <w14:ligatures w14:val="none"/>
        </w:rPr>
      </w:pPr>
      <w:r>
        <w:rPr>
          <w:color w:val="000000"/>
        </w:rPr>
        <w:br w:type="page"/>
      </w:r>
    </w:p>
    <w:p w14:paraId="496D88C8" w14:textId="2B49F449" w:rsidR="00332AFC" w:rsidRDefault="003B2E00" w:rsidP="00F70568">
      <w:pPr>
        <w:pStyle w:val="NormalWeb"/>
        <w:spacing w:before="0" w:beforeAutospacing="0" w:after="0" w:afterAutospacing="0"/>
        <w:rPr>
          <w:color w:val="000000"/>
        </w:rPr>
      </w:pPr>
      <w:r>
        <w:rPr>
          <w:noProof/>
          <w:color w:val="000000"/>
          <w14:ligatures w14:val="standardContextual"/>
        </w:rPr>
        <w:lastRenderedPageBreak/>
        <w:drawing>
          <wp:inline distT="0" distB="0" distL="0" distR="0" wp14:anchorId="4F2D630B" wp14:editId="2215A99F">
            <wp:extent cx="5829300" cy="7543800"/>
            <wp:effectExtent l="0" t="0" r="0" b="0"/>
            <wp:docPr id="201248816"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48816" name="Graphic 201248816"/>
                    <pic:cNvPicPr/>
                  </pic:nvPicPr>
                  <pic:blipFill>
                    <a:blip r:embed="rId8">
                      <a:extLst>
                        <a:ext uri="{96DAC541-7B7A-43D3-8B79-37D633B846F1}">
                          <asvg:svgBlip xmlns:asvg="http://schemas.microsoft.com/office/drawing/2016/SVG/main" r:embed="rId9"/>
                        </a:ext>
                      </a:extLst>
                    </a:blip>
                    <a:stretch>
                      <a:fillRect/>
                    </a:stretch>
                  </pic:blipFill>
                  <pic:spPr>
                    <a:xfrm>
                      <a:off x="0" y="0"/>
                      <a:ext cx="5829300" cy="7543800"/>
                    </a:xfrm>
                    <a:prstGeom prst="rect">
                      <a:avLst/>
                    </a:prstGeom>
                  </pic:spPr>
                </pic:pic>
              </a:graphicData>
            </a:graphic>
          </wp:inline>
        </w:drawing>
      </w:r>
    </w:p>
    <w:p w14:paraId="1367236C" w14:textId="77777777" w:rsidR="00F70568" w:rsidRDefault="00F70568" w:rsidP="00F70568">
      <w:pPr>
        <w:pStyle w:val="NormalWeb"/>
        <w:spacing w:before="0" w:beforeAutospacing="0" w:after="0" w:afterAutospacing="0"/>
        <w:rPr>
          <w:color w:val="000000"/>
        </w:rPr>
      </w:pPr>
    </w:p>
    <w:p w14:paraId="5AB81497" w14:textId="77777777" w:rsidR="00332AFC" w:rsidRDefault="00332AFC">
      <w:pPr>
        <w:rPr>
          <w:rFonts w:ascii="Times New Roman" w:eastAsia="Times New Roman" w:hAnsi="Times New Roman" w:cs="Times New Roman"/>
          <w:b/>
          <w:bCs/>
          <w:color w:val="0E0E0E"/>
          <w:kern w:val="0"/>
          <w14:ligatures w14:val="none"/>
        </w:rPr>
      </w:pPr>
      <w:r>
        <w:rPr>
          <w:b/>
          <w:bCs/>
          <w:color w:val="0E0E0E"/>
        </w:rPr>
        <w:br w:type="page"/>
      </w:r>
    </w:p>
    <w:p w14:paraId="76C6AA31" w14:textId="1AC034D8" w:rsidR="00F70568" w:rsidRPr="008F460F" w:rsidRDefault="00F70568" w:rsidP="00F70568">
      <w:pPr>
        <w:pStyle w:val="NormalWeb"/>
        <w:spacing w:before="0" w:beforeAutospacing="0" w:after="0" w:afterAutospacing="0"/>
      </w:pPr>
      <w:r w:rsidRPr="00225DF3">
        <w:rPr>
          <w:b/>
          <w:bCs/>
          <w:color w:val="0E0E0E"/>
        </w:rPr>
        <w:lastRenderedPageBreak/>
        <w:t xml:space="preserve">Figure </w:t>
      </w:r>
      <w:r>
        <w:rPr>
          <w:b/>
          <w:bCs/>
          <w:color w:val="0E0E0E"/>
        </w:rPr>
        <w:t>S</w:t>
      </w:r>
      <w:r w:rsidRPr="00225DF3">
        <w:rPr>
          <w:b/>
          <w:bCs/>
          <w:color w:val="0E0E0E"/>
        </w:rPr>
        <w:t xml:space="preserve">2. Assay </w:t>
      </w:r>
      <w:r>
        <w:rPr>
          <w:b/>
          <w:bCs/>
          <w:color w:val="0E0E0E"/>
        </w:rPr>
        <w:t>c</w:t>
      </w:r>
      <w:r w:rsidRPr="00225DF3">
        <w:rPr>
          <w:b/>
          <w:bCs/>
          <w:color w:val="0E0E0E"/>
        </w:rPr>
        <w:t xml:space="preserve">onsistency in </w:t>
      </w:r>
      <w:r>
        <w:rPr>
          <w:b/>
          <w:bCs/>
          <w:color w:val="0E0E0E"/>
        </w:rPr>
        <w:t>c</w:t>
      </w:r>
      <w:r w:rsidRPr="00225DF3">
        <w:rPr>
          <w:b/>
          <w:bCs/>
          <w:color w:val="0E0E0E"/>
        </w:rPr>
        <w:t>ross-</w:t>
      </w:r>
      <w:r>
        <w:rPr>
          <w:b/>
          <w:bCs/>
          <w:color w:val="0E0E0E"/>
        </w:rPr>
        <w:t>a</w:t>
      </w:r>
      <w:r w:rsidRPr="00225DF3">
        <w:rPr>
          <w:b/>
          <w:bCs/>
          <w:color w:val="0E0E0E"/>
        </w:rPr>
        <w:t xml:space="preserve">ssay </w:t>
      </w:r>
      <w:r>
        <w:rPr>
          <w:b/>
          <w:bCs/>
          <w:color w:val="0E0E0E"/>
        </w:rPr>
        <w:t>c</w:t>
      </w:r>
      <w:r w:rsidRPr="00225DF3">
        <w:rPr>
          <w:b/>
          <w:bCs/>
          <w:color w:val="0E0E0E"/>
        </w:rPr>
        <w:t xml:space="preserve">omparisons </w:t>
      </w:r>
      <w:r>
        <w:rPr>
          <w:b/>
          <w:bCs/>
          <w:color w:val="0E0E0E"/>
        </w:rPr>
        <w:t>u</w:t>
      </w:r>
      <w:r w:rsidRPr="00225DF3">
        <w:rPr>
          <w:b/>
          <w:bCs/>
          <w:color w:val="0E0E0E"/>
        </w:rPr>
        <w:t xml:space="preserve">sing </w:t>
      </w:r>
      <w:r>
        <w:rPr>
          <w:b/>
          <w:bCs/>
          <w:color w:val="0E0E0E"/>
        </w:rPr>
        <w:t>o</w:t>
      </w:r>
      <w:r w:rsidRPr="00225DF3">
        <w:rPr>
          <w:b/>
          <w:bCs/>
          <w:color w:val="0E0E0E"/>
        </w:rPr>
        <w:t xml:space="preserve">riginal </w:t>
      </w:r>
      <w:r>
        <w:rPr>
          <w:b/>
          <w:bCs/>
          <w:color w:val="0E0E0E"/>
        </w:rPr>
        <w:t>l</w:t>
      </w:r>
      <w:r w:rsidRPr="00225DF3">
        <w:rPr>
          <w:b/>
          <w:bCs/>
          <w:color w:val="0E0E0E"/>
        </w:rPr>
        <w:t>aboratory-</w:t>
      </w:r>
      <w:r>
        <w:rPr>
          <w:b/>
          <w:bCs/>
          <w:color w:val="0E0E0E"/>
        </w:rPr>
        <w:t>r</w:t>
      </w:r>
      <w:r w:rsidRPr="00225DF3">
        <w:rPr>
          <w:b/>
          <w:bCs/>
          <w:color w:val="0E0E0E"/>
        </w:rPr>
        <w:t xml:space="preserve">eported </w:t>
      </w:r>
      <w:r>
        <w:rPr>
          <w:b/>
          <w:bCs/>
          <w:color w:val="0E0E0E"/>
        </w:rPr>
        <w:t>e</w:t>
      </w:r>
      <w:r w:rsidRPr="00225DF3">
        <w:rPr>
          <w:b/>
          <w:bCs/>
          <w:color w:val="0E0E0E"/>
        </w:rPr>
        <w:t xml:space="preserve">nhancer </w:t>
      </w:r>
      <w:r>
        <w:rPr>
          <w:b/>
          <w:bCs/>
          <w:color w:val="0E0E0E"/>
        </w:rPr>
        <w:t>c</w:t>
      </w:r>
      <w:r w:rsidRPr="00225DF3">
        <w:rPr>
          <w:b/>
          <w:bCs/>
          <w:color w:val="0E0E0E"/>
        </w:rPr>
        <w:t>alls</w:t>
      </w:r>
    </w:p>
    <w:p w14:paraId="3E7C1056" w14:textId="77777777" w:rsidR="00F70568" w:rsidRPr="00225DF3" w:rsidRDefault="00F70568" w:rsidP="00F70568">
      <w:pPr>
        <w:pStyle w:val="NormalWeb"/>
        <w:spacing w:before="0" w:beforeAutospacing="0" w:after="0" w:afterAutospacing="0"/>
      </w:pPr>
      <w:r w:rsidRPr="00225DF3">
        <w:rPr>
          <w:b/>
          <w:bCs/>
          <w:color w:val="0E0E0E"/>
        </w:rPr>
        <w:t>(a)</w:t>
      </w:r>
      <w:r w:rsidRPr="00225DF3">
        <w:rPr>
          <w:color w:val="0E0E0E"/>
        </w:rPr>
        <w:t xml:space="preserve"> Heatmaps showing the number of overlapping enhancer regions between assays under the ≥50% reciprocal overlap criterion. Each cell displays the number of enhancer regions in the row dataset overlapping with those in the column dataset, with diagonal cells indicating the total number of enhancer regions identified in each dataset. </w:t>
      </w:r>
    </w:p>
    <w:p w14:paraId="388B9AB8" w14:textId="77777777" w:rsidR="00F70568" w:rsidRDefault="00F70568" w:rsidP="00F70568">
      <w:pPr>
        <w:pStyle w:val="NormalWeb"/>
        <w:spacing w:before="0" w:beforeAutospacing="0" w:after="0" w:afterAutospacing="0"/>
        <w:rPr>
          <w:color w:val="0E0E0E"/>
        </w:rPr>
      </w:pPr>
      <w:r w:rsidRPr="00225DF3">
        <w:rPr>
          <w:b/>
          <w:bCs/>
          <w:color w:val="0E0E0E"/>
        </w:rPr>
        <w:t xml:space="preserve">(b) </w:t>
      </w:r>
      <w:r w:rsidRPr="00225DF3">
        <w:rPr>
          <w:color w:val="000000"/>
        </w:rPr>
        <w:t xml:space="preserve">Heatmap presenting the Jaccard Index of each pairwise comparison between assays using the </w:t>
      </w:r>
      <w:r w:rsidRPr="00225DF3">
        <w:rPr>
          <w:color w:val="0E0E0E"/>
        </w:rPr>
        <w:t>≥50% reciprocal overlap criterion.</w:t>
      </w:r>
    </w:p>
    <w:p w14:paraId="5EBB58C3" w14:textId="77777777" w:rsidR="00F70568" w:rsidRDefault="00F70568" w:rsidP="00F70568">
      <w:pPr>
        <w:pStyle w:val="NormalWeb"/>
        <w:spacing w:before="0" w:beforeAutospacing="0" w:after="0" w:afterAutospacing="0"/>
        <w:rPr>
          <w:color w:val="0E0E0E"/>
        </w:rPr>
      </w:pPr>
    </w:p>
    <w:p w14:paraId="35C3F2AA" w14:textId="77777777" w:rsidR="00332AFC" w:rsidRDefault="00332AFC">
      <w:pPr>
        <w:rPr>
          <w:rFonts w:ascii="Times New Roman" w:eastAsia="Times New Roman" w:hAnsi="Times New Roman" w:cs="Times New Roman"/>
          <w:b/>
          <w:bCs/>
          <w:color w:val="0E0E0E"/>
          <w:kern w:val="0"/>
          <w14:ligatures w14:val="none"/>
        </w:rPr>
      </w:pPr>
      <w:r>
        <w:rPr>
          <w:b/>
          <w:bCs/>
          <w:color w:val="0E0E0E"/>
        </w:rPr>
        <w:br w:type="page"/>
      </w:r>
    </w:p>
    <w:p w14:paraId="0210D594" w14:textId="31AD394E" w:rsidR="00332AFC" w:rsidRDefault="003B2E00" w:rsidP="00F70568">
      <w:pPr>
        <w:pStyle w:val="NormalWeb"/>
        <w:spacing w:before="0" w:beforeAutospacing="0" w:after="0" w:afterAutospacing="0"/>
        <w:rPr>
          <w:b/>
          <w:bCs/>
          <w:color w:val="0E0E0E"/>
        </w:rPr>
      </w:pPr>
      <w:r>
        <w:rPr>
          <w:b/>
          <w:bCs/>
          <w:noProof/>
          <w:color w:val="0E0E0E"/>
          <w14:ligatures w14:val="standardContextual"/>
        </w:rPr>
        <w:lastRenderedPageBreak/>
        <w:drawing>
          <wp:inline distT="0" distB="0" distL="0" distR="0" wp14:anchorId="5D7C37E8" wp14:editId="31EB40D0">
            <wp:extent cx="5829300" cy="7543800"/>
            <wp:effectExtent l="0" t="0" r="0" b="0"/>
            <wp:docPr id="137038505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385053" name="Graphic 1370385053"/>
                    <pic:cNvPicPr/>
                  </pic:nvPicPr>
                  <pic:blipFill>
                    <a:blip r:embed="rId10">
                      <a:extLst>
                        <a:ext uri="{96DAC541-7B7A-43D3-8B79-37D633B846F1}">
                          <asvg:svgBlip xmlns:asvg="http://schemas.microsoft.com/office/drawing/2016/SVG/main" r:embed="rId11"/>
                        </a:ext>
                      </a:extLst>
                    </a:blip>
                    <a:stretch>
                      <a:fillRect/>
                    </a:stretch>
                  </pic:blipFill>
                  <pic:spPr>
                    <a:xfrm>
                      <a:off x="0" y="0"/>
                      <a:ext cx="5829300" cy="7543800"/>
                    </a:xfrm>
                    <a:prstGeom prst="rect">
                      <a:avLst/>
                    </a:prstGeom>
                  </pic:spPr>
                </pic:pic>
              </a:graphicData>
            </a:graphic>
          </wp:inline>
        </w:drawing>
      </w:r>
    </w:p>
    <w:p w14:paraId="1CDC47F9" w14:textId="77777777" w:rsidR="00332AFC" w:rsidRDefault="00332AFC">
      <w:pPr>
        <w:rPr>
          <w:rFonts w:ascii="Times New Roman" w:eastAsia="Times New Roman" w:hAnsi="Times New Roman" w:cs="Times New Roman"/>
          <w:b/>
          <w:bCs/>
          <w:color w:val="0E0E0E"/>
          <w:kern w:val="0"/>
          <w14:ligatures w14:val="none"/>
        </w:rPr>
      </w:pPr>
      <w:r>
        <w:rPr>
          <w:b/>
          <w:bCs/>
          <w:color w:val="0E0E0E"/>
        </w:rPr>
        <w:br w:type="page"/>
      </w:r>
    </w:p>
    <w:p w14:paraId="54491B76" w14:textId="5ADE4A7B" w:rsidR="00F70568" w:rsidRDefault="00F70568" w:rsidP="00F70568">
      <w:pPr>
        <w:pStyle w:val="NormalWeb"/>
        <w:spacing w:before="0" w:beforeAutospacing="0" w:after="0" w:afterAutospacing="0"/>
        <w:rPr>
          <w:color w:val="0E0E0E"/>
        </w:rPr>
      </w:pPr>
      <w:r w:rsidRPr="00225DF3">
        <w:rPr>
          <w:b/>
          <w:bCs/>
          <w:color w:val="0E0E0E"/>
        </w:rPr>
        <w:lastRenderedPageBreak/>
        <w:t xml:space="preserve">Figure </w:t>
      </w:r>
      <w:r>
        <w:rPr>
          <w:b/>
          <w:bCs/>
          <w:color w:val="0E0E0E"/>
        </w:rPr>
        <w:t>S</w:t>
      </w:r>
      <w:r w:rsidRPr="00225DF3">
        <w:rPr>
          <w:b/>
          <w:bCs/>
          <w:color w:val="0E0E0E"/>
        </w:rPr>
        <w:t xml:space="preserve">3. Schematic </w:t>
      </w:r>
      <w:r>
        <w:rPr>
          <w:b/>
          <w:bCs/>
          <w:color w:val="0E0E0E"/>
        </w:rPr>
        <w:t>r</w:t>
      </w:r>
      <w:r w:rsidRPr="00225DF3">
        <w:rPr>
          <w:b/>
          <w:bCs/>
          <w:color w:val="0E0E0E"/>
        </w:rPr>
        <w:t xml:space="preserve">epresentation of </w:t>
      </w:r>
      <w:r>
        <w:rPr>
          <w:b/>
          <w:bCs/>
          <w:color w:val="0E0E0E"/>
        </w:rPr>
        <w:t>b</w:t>
      </w:r>
      <w:r w:rsidRPr="00225DF3">
        <w:rPr>
          <w:b/>
          <w:bCs/>
          <w:color w:val="0E0E0E"/>
        </w:rPr>
        <w:t xml:space="preserve">inning </w:t>
      </w:r>
      <w:r>
        <w:rPr>
          <w:b/>
          <w:bCs/>
          <w:color w:val="0E0E0E"/>
        </w:rPr>
        <w:t>s</w:t>
      </w:r>
      <w:r w:rsidRPr="00225DF3">
        <w:rPr>
          <w:b/>
          <w:bCs/>
          <w:color w:val="0E0E0E"/>
        </w:rPr>
        <w:t xml:space="preserve">trategies in </w:t>
      </w:r>
      <w:r>
        <w:rPr>
          <w:b/>
          <w:bCs/>
          <w:color w:val="0E0E0E"/>
        </w:rPr>
        <w:t>g</w:t>
      </w:r>
      <w:r w:rsidRPr="00225DF3">
        <w:rPr>
          <w:b/>
          <w:bCs/>
          <w:color w:val="0E0E0E"/>
        </w:rPr>
        <w:t xml:space="preserve">enome-wide STARR-seq </w:t>
      </w:r>
      <w:r>
        <w:rPr>
          <w:b/>
          <w:bCs/>
          <w:color w:val="0E0E0E"/>
        </w:rPr>
        <w:t>d</w:t>
      </w:r>
      <w:r w:rsidRPr="00225DF3">
        <w:rPr>
          <w:b/>
          <w:bCs/>
          <w:color w:val="0E0E0E"/>
        </w:rPr>
        <w:t>atasets</w:t>
      </w:r>
    </w:p>
    <w:p w14:paraId="13AF69EB" w14:textId="77777777" w:rsidR="00F70568" w:rsidRPr="008F460F" w:rsidRDefault="00F70568" w:rsidP="00F70568">
      <w:pPr>
        <w:pStyle w:val="NormalWeb"/>
        <w:spacing w:before="0" w:beforeAutospacing="0" w:after="0" w:afterAutospacing="0"/>
        <w:rPr>
          <w:color w:val="0E0E0E"/>
        </w:rPr>
      </w:pPr>
      <w:r w:rsidRPr="008F460F">
        <w:rPr>
          <w:rFonts w:hint="eastAsia"/>
          <w:b/>
          <w:bCs/>
          <w:color w:val="0E0E0E"/>
        </w:rPr>
        <w:t>(a)</w:t>
      </w:r>
      <w:r>
        <w:rPr>
          <w:rFonts w:hint="eastAsia"/>
          <w:color w:val="0E0E0E"/>
        </w:rPr>
        <w:t xml:space="preserve"> </w:t>
      </w:r>
      <w:r w:rsidRPr="00225DF3">
        <w:rPr>
          <w:color w:val="000000"/>
        </w:rPr>
        <w:t>Illustration of the genomic binning approach applied to ATAC-STARR-seq and WHG-STARR-seq datasets. Original STARR-seq fragments are assigned to 100-bp genomic bins using a 10-bp sliding window, where only fragments fully covering the genomic bin are counted. </w:t>
      </w:r>
    </w:p>
    <w:p w14:paraId="4B7F0D00" w14:textId="77777777" w:rsidR="00F70568" w:rsidRDefault="00F70568" w:rsidP="00F70568">
      <w:pPr>
        <w:pStyle w:val="NormalWeb"/>
        <w:spacing w:before="0" w:beforeAutospacing="0" w:after="0" w:afterAutospacing="0"/>
        <w:rPr>
          <w:b/>
          <w:bCs/>
          <w:color w:val="000000"/>
        </w:rPr>
      </w:pPr>
    </w:p>
    <w:p w14:paraId="04FB4850" w14:textId="77777777" w:rsidR="00332AFC" w:rsidRDefault="00332AFC">
      <w:pPr>
        <w:rPr>
          <w:rFonts w:ascii="Times New Roman" w:eastAsia="Times New Roman" w:hAnsi="Times New Roman" w:cs="Times New Roman"/>
          <w:b/>
          <w:bCs/>
          <w:color w:val="000000"/>
          <w:kern w:val="0"/>
          <w14:ligatures w14:val="none"/>
        </w:rPr>
      </w:pPr>
      <w:r>
        <w:rPr>
          <w:b/>
          <w:bCs/>
          <w:color w:val="000000"/>
        </w:rPr>
        <w:br w:type="page"/>
      </w:r>
    </w:p>
    <w:p w14:paraId="4561B8A3" w14:textId="18575FE4" w:rsidR="00332AFC" w:rsidRDefault="003B2E00" w:rsidP="00F70568">
      <w:pPr>
        <w:pStyle w:val="NormalWeb"/>
        <w:spacing w:before="0" w:beforeAutospacing="0" w:after="0" w:afterAutospacing="0"/>
        <w:rPr>
          <w:b/>
          <w:bCs/>
          <w:color w:val="000000"/>
        </w:rPr>
      </w:pPr>
      <w:r>
        <w:rPr>
          <w:b/>
          <w:bCs/>
          <w:noProof/>
          <w:color w:val="000000"/>
          <w14:ligatures w14:val="standardContextual"/>
        </w:rPr>
        <w:lastRenderedPageBreak/>
        <w:drawing>
          <wp:inline distT="0" distB="0" distL="0" distR="0" wp14:anchorId="6B0672DF" wp14:editId="365F8871">
            <wp:extent cx="5829300" cy="7543800"/>
            <wp:effectExtent l="0" t="0" r="0" b="0"/>
            <wp:docPr id="915645431"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645431" name="Graphic 915645431"/>
                    <pic:cNvPicPr/>
                  </pic:nvPicPr>
                  <pic:blipFill>
                    <a:blip r:embed="rId12">
                      <a:extLst>
                        <a:ext uri="{96DAC541-7B7A-43D3-8B79-37D633B846F1}">
                          <asvg:svgBlip xmlns:asvg="http://schemas.microsoft.com/office/drawing/2016/SVG/main" r:embed="rId13"/>
                        </a:ext>
                      </a:extLst>
                    </a:blip>
                    <a:stretch>
                      <a:fillRect/>
                    </a:stretch>
                  </pic:blipFill>
                  <pic:spPr>
                    <a:xfrm>
                      <a:off x="0" y="0"/>
                      <a:ext cx="5829300" cy="7543800"/>
                    </a:xfrm>
                    <a:prstGeom prst="rect">
                      <a:avLst/>
                    </a:prstGeom>
                  </pic:spPr>
                </pic:pic>
              </a:graphicData>
            </a:graphic>
          </wp:inline>
        </w:drawing>
      </w:r>
    </w:p>
    <w:p w14:paraId="1D28C811" w14:textId="77777777" w:rsidR="00332AFC" w:rsidRDefault="00332AFC">
      <w:pPr>
        <w:rPr>
          <w:rFonts w:ascii="Times New Roman" w:eastAsia="Times New Roman" w:hAnsi="Times New Roman" w:cs="Times New Roman"/>
          <w:b/>
          <w:bCs/>
          <w:color w:val="000000"/>
          <w:kern w:val="0"/>
          <w14:ligatures w14:val="none"/>
        </w:rPr>
      </w:pPr>
      <w:r>
        <w:rPr>
          <w:b/>
          <w:bCs/>
          <w:color w:val="000000"/>
        </w:rPr>
        <w:br w:type="page"/>
      </w:r>
    </w:p>
    <w:p w14:paraId="64228E6B" w14:textId="05E0D3C4" w:rsidR="00F70568" w:rsidRPr="008F460F" w:rsidRDefault="00F70568" w:rsidP="00F70568">
      <w:pPr>
        <w:pStyle w:val="NormalWeb"/>
        <w:spacing w:before="0" w:beforeAutospacing="0" w:after="0" w:afterAutospacing="0"/>
        <w:rPr>
          <w:color w:val="000000"/>
        </w:rPr>
      </w:pPr>
      <w:r w:rsidRPr="008F460F">
        <w:rPr>
          <w:b/>
          <w:bCs/>
          <w:color w:val="000000"/>
        </w:rPr>
        <w:lastRenderedPageBreak/>
        <w:t>Figure S4. Assay consistencies for distal and proximal regions tested across MPRA/STARR-seq assays</w:t>
      </w:r>
    </w:p>
    <w:p w14:paraId="1CBE7B69" w14:textId="77777777" w:rsidR="00F70568" w:rsidRDefault="00F70568" w:rsidP="00F70568">
      <w:pPr>
        <w:pStyle w:val="NormalWeb"/>
        <w:spacing w:before="0" w:beforeAutospacing="0" w:after="0" w:afterAutospacing="0"/>
        <w:rPr>
          <w:color w:val="0E0E0E"/>
        </w:rPr>
      </w:pPr>
      <w:r w:rsidRPr="00225DF3">
        <w:rPr>
          <w:b/>
          <w:bCs/>
          <w:color w:val="0E0E0E"/>
        </w:rPr>
        <w:t>(</w:t>
      </w:r>
      <w:r>
        <w:rPr>
          <w:b/>
          <w:bCs/>
          <w:color w:val="0E0E0E"/>
        </w:rPr>
        <w:t>a</w:t>
      </w:r>
      <w:r w:rsidRPr="00225DF3">
        <w:rPr>
          <w:b/>
          <w:bCs/>
          <w:color w:val="0E0E0E"/>
        </w:rPr>
        <w:t>,</w:t>
      </w:r>
      <w:r>
        <w:rPr>
          <w:b/>
          <w:bCs/>
          <w:color w:val="0E0E0E"/>
        </w:rPr>
        <w:t xml:space="preserve"> b</w:t>
      </w:r>
      <w:r w:rsidRPr="00225DF3">
        <w:rPr>
          <w:b/>
          <w:bCs/>
          <w:color w:val="0E0E0E"/>
        </w:rPr>
        <w:t>)</w:t>
      </w:r>
      <w:r w:rsidRPr="00225DF3">
        <w:rPr>
          <w:color w:val="0E0E0E"/>
        </w:rPr>
        <w:t xml:space="preserve"> Heatmaps displaying the number of overlapping tested regions between assays under the ≥1-bp overlap criterion in proximal regions (</w:t>
      </w:r>
      <w:r>
        <w:rPr>
          <w:color w:val="0E0E0E"/>
        </w:rPr>
        <w:t>a</w:t>
      </w:r>
      <w:r w:rsidRPr="00225DF3">
        <w:rPr>
          <w:color w:val="0E0E0E"/>
        </w:rPr>
        <w:t>) and in distal regions (</w:t>
      </w:r>
      <w:r>
        <w:rPr>
          <w:color w:val="0E0E0E"/>
        </w:rPr>
        <w:t>b</w:t>
      </w:r>
      <w:r w:rsidRPr="00225DF3">
        <w:rPr>
          <w:color w:val="0E0E0E"/>
        </w:rPr>
        <w:t>). Each cell shows the ratio of the number of proximal enhancer regions in the row dataset that overlap with proximal enhancer regions in the column dataset to the number of proximal enhancer regions in the row dataset overlapping with proximal tested regions in the column dataset. Diagonal cells display the total number of proximal enhancer regions identified in each dataset. </w:t>
      </w:r>
    </w:p>
    <w:p w14:paraId="52912B22" w14:textId="77777777" w:rsidR="00F70568" w:rsidRDefault="00F70568" w:rsidP="00F70568">
      <w:pPr>
        <w:pStyle w:val="NormalWeb"/>
        <w:spacing w:before="0" w:beforeAutospacing="0" w:after="0" w:afterAutospacing="0"/>
        <w:rPr>
          <w:color w:val="0E0E0E"/>
        </w:rPr>
      </w:pPr>
    </w:p>
    <w:p w14:paraId="6F85377F" w14:textId="77777777" w:rsidR="00332AFC" w:rsidRDefault="00332AFC">
      <w:pPr>
        <w:rPr>
          <w:rFonts w:ascii="Times New Roman" w:eastAsia="Times New Roman" w:hAnsi="Times New Roman" w:cs="Times New Roman"/>
          <w:b/>
          <w:bCs/>
          <w:color w:val="0E0E0E"/>
          <w:kern w:val="0"/>
          <w14:ligatures w14:val="none"/>
        </w:rPr>
      </w:pPr>
      <w:r>
        <w:rPr>
          <w:b/>
          <w:bCs/>
          <w:color w:val="0E0E0E"/>
        </w:rPr>
        <w:br w:type="page"/>
      </w:r>
    </w:p>
    <w:p w14:paraId="26AA6E9A" w14:textId="77777777" w:rsidR="00332AFC" w:rsidRDefault="00332AFC" w:rsidP="00F70568">
      <w:pPr>
        <w:pStyle w:val="NormalWeb"/>
        <w:spacing w:before="0" w:beforeAutospacing="0" w:after="0" w:afterAutospacing="0"/>
        <w:rPr>
          <w:b/>
          <w:bCs/>
          <w:color w:val="0E0E0E"/>
        </w:rPr>
      </w:pPr>
    </w:p>
    <w:p w14:paraId="00C4D68D" w14:textId="1109DD92" w:rsidR="00332AFC" w:rsidRDefault="003B2E00" w:rsidP="00F70568">
      <w:pPr>
        <w:pStyle w:val="NormalWeb"/>
        <w:spacing w:before="0" w:beforeAutospacing="0" w:after="0" w:afterAutospacing="0"/>
        <w:rPr>
          <w:b/>
          <w:bCs/>
          <w:color w:val="0E0E0E"/>
        </w:rPr>
      </w:pPr>
      <w:r>
        <w:rPr>
          <w:b/>
          <w:bCs/>
          <w:noProof/>
          <w:color w:val="0E0E0E"/>
          <w14:ligatures w14:val="standardContextual"/>
        </w:rPr>
        <w:drawing>
          <wp:inline distT="0" distB="0" distL="0" distR="0" wp14:anchorId="4285D19A" wp14:editId="413A28E6">
            <wp:extent cx="5829300" cy="7543800"/>
            <wp:effectExtent l="0" t="0" r="0" b="0"/>
            <wp:docPr id="1050624336"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624336" name="Graphic 1050624336"/>
                    <pic:cNvPicPr/>
                  </pic:nvPicPr>
                  <pic:blipFill>
                    <a:blip r:embed="rId14">
                      <a:extLst>
                        <a:ext uri="{96DAC541-7B7A-43D3-8B79-37D633B846F1}">
                          <asvg:svgBlip xmlns:asvg="http://schemas.microsoft.com/office/drawing/2016/SVG/main" r:embed="rId15"/>
                        </a:ext>
                      </a:extLst>
                    </a:blip>
                    <a:stretch>
                      <a:fillRect/>
                    </a:stretch>
                  </pic:blipFill>
                  <pic:spPr>
                    <a:xfrm>
                      <a:off x="0" y="0"/>
                      <a:ext cx="5829300" cy="7543800"/>
                    </a:xfrm>
                    <a:prstGeom prst="rect">
                      <a:avLst/>
                    </a:prstGeom>
                  </pic:spPr>
                </pic:pic>
              </a:graphicData>
            </a:graphic>
          </wp:inline>
        </w:drawing>
      </w:r>
    </w:p>
    <w:p w14:paraId="11E3F52B" w14:textId="77777777" w:rsidR="00332AFC" w:rsidRDefault="00332AFC">
      <w:pPr>
        <w:rPr>
          <w:rFonts w:ascii="Times New Roman" w:eastAsia="Times New Roman" w:hAnsi="Times New Roman" w:cs="Times New Roman"/>
          <w:b/>
          <w:bCs/>
          <w:color w:val="0E0E0E"/>
          <w:kern w:val="0"/>
          <w14:ligatures w14:val="none"/>
        </w:rPr>
      </w:pPr>
      <w:r>
        <w:rPr>
          <w:b/>
          <w:bCs/>
          <w:color w:val="0E0E0E"/>
        </w:rPr>
        <w:br w:type="page"/>
      </w:r>
    </w:p>
    <w:p w14:paraId="263095D7" w14:textId="1A678EF4" w:rsidR="00F70568" w:rsidRPr="00225DF3" w:rsidRDefault="00F70568" w:rsidP="00F70568">
      <w:pPr>
        <w:pStyle w:val="NormalWeb"/>
        <w:spacing w:before="0" w:beforeAutospacing="0" w:after="0" w:afterAutospacing="0"/>
      </w:pPr>
      <w:r w:rsidRPr="00225DF3">
        <w:rPr>
          <w:b/>
          <w:bCs/>
          <w:color w:val="0E0E0E"/>
        </w:rPr>
        <w:lastRenderedPageBreak/>
        <w:t xml:space="preserve">Figure </w:t>
      </w:r>
      <w:r>
        <w:rPr>
          <w:b/>
          <w:bCs/>
          <w:color w:val="0E0E0E"/>
        </w:rPr>
        <w:t>S</w:t>
      </w:r>
      <w:r w:rsidRPr="00225DF3">
        <w:rPr>
          <w:b/>
          <w:bCs/>
          <w:color w:val="0E0E0E"/>
        </w:rPr>
        <w:t xml:space="preserve">5. Functional </w:t>
      </w:r>
      <w:r>
        <w:rPr>
          <w:b/>
          <w:bCs/>
          <w:color w:val="0E0E0E"/>
        </w:rPr>
        <w:t>v</w:t>
      </w:r>
      <w:r w:rsidRPr="00225DF3">
        <w:rPr>
          <w:b/>
          <w:bCs/>
          <w:color w:val="0E0E0E"/>
        </w:rPr>
        <w:t xml:space="preserve">alidation of </w:t>
      </w:r>
      <w:proofErr w:type="spellStart"/>
      <w:r w:rsidRPr="00225DF3">
        <w:rPr>
          <w:b/>
          <w:bCs/>
          <w:color w:val="0E0E0E"/>
        </w:rPr>
        <w:t>cCREs</w:t>
      </w:r>
      <w:proofErr w:type="spellEnd"/>
      <w:r w:rsidRPr="00225DF3">
        <w:rPr>
          <w:b/>
          <w:bCs/>
          <w:color w:val="0E0E0E"/>
        </w:rPr>
        <w:t xml:space="preserve"> and GRO-cap </w:t>
      </w:r>
      <w:r>
        <w:rPr>
          <w:b/>
          <w:bCs/>
          <w:color w:val="0E0E0E"/>
        </w:rPr>
        <w:t>e</w:t>
      </w:r>
      <w:r w:rsidRPr="00225DF3">
        <w:rPr>
          <w:b/>
          <w:bCs/>
          <w:color w:val="0E0E0E"/>
        </w:rPr>
        <w:t xml:space="preserve">lements </w:t>
      </w:r>
      <w:r>
        <w:rPr>
          <w:b/>
          <w:bCs/>
          <w:color w:val="0E0E0E"/>
        </w:rPr>
        <w:t>a</w:t>
      </w:r>
      <w:r w:rsidRPr="00225DF3">
        <w:rPr>
          <w:b/>
          <w:bCs/>
          <w:color w:val="0E0E0E"/>
        </w:rPr>
        <w:t xml:space="preserve">cross MPRA/STARR-seq </w:t>
      </w:r>
      <w:r>
        <w:rPr>
          <w:b/>
          <w:bCs/>
          <w:color w:val="0E0E0E"/>
        </w:rPr>
        <w:t>a</w:t>
      </w:r>
      <w:r w:rsidRPr="00225DF3">
        <w:rPr>
          <w:b/>
          <w:bCs/>
          <w:color w:val="0E0E0E"/>
        </w:rPr>
        <w:t>ssays</w:t>
      </w:r>
    </w:p>
    <w:p w14:paraId="30F10E75" w14:textId="77777777" w:rsidR="00F70568" w:rsidRPr="00225DF3" w:rsidRDefault="00F70568" w:rsidP="00F70568">
      <w:pPr>
        <w:pStyle w:val="NormalWeb"/>
        <w:spacing w:before="0" w:beforeAutospacing="0" w:after="0" w:afterAutospacing="0"/>
      </w:pPr>
      <w:r w:rsidRPr="00225DF3">
        <w:rPr>
          <w:b/>
          <w:bCs/>
          <w:color w:val="0E0E0E"/>
        </w:rPr>
        <w:t>(a)</w:t>
      </w:r>
      <w:r w:rsidRPr="00225DF3">
        <w:rPr>
          <w:color w:val="0E0E0E"/>
        </w:rPr>
        <w:t xml:space="preserve"> Stacked bar plot displaying the coverage of </w:t>
      </w:r>
      <w:proofErr w:type="spellStart"/>
      <w:r w:rsidRPr="00225DF3">
        <w:rPr>
          <w:color w:val="0E0E0E"/>
        </w:rPr>
        <w:t>dELS</w:t>
      </w:r>
      <w:proofErr w:type="spellEnd"/>
      <w:r w:rsidRPr="00225DF3">
        <w:rPr>
          <w:color w:val="0E0E0E"/>
        </w:rPr>
        <w:t xml:space="preserve">, </w:t>
      </w:r>
      <w:proofErr w:type="spellStart"/>
      <w:r w:rsidRPr="00225DF3">
        <w:rPr>
          <w:color w:val="0E0E0E"/>
        </w:rPr>
        <w:t>pELS</w:t>
      </w:r>
      <w:proofErr w:type="spellEnd"/>
      <w:r w:rsidRPr="00225DF3">
        <w:rPr>
          <w:color w:val="0E0E0E"/>
        </w:rPr>
        <w:t xml:space="preserve"> and PLS with different levels of overlap across </w:t>
      </w:r>
      <w:proofErr w:type="spellStart"/>
      <w:r w:rsidRPr="00225DF3">
        <w:rPr>
          <w:color w:val="0E0E0E"/>
        </w:rPr>
        <w:t>LentiMPRA</w:t>
      </w:r>
      <w:proofErr w:type="spellEnd"/>
      <w:r w:rsidRPr="00225DF3">
        <w:rPr>
          <w:color w:val="0E0E0E"/>
        </w:rPr>
        <w:t>, ATAC-STARR-seq and WHG-STARR-seq. Overlap categories include ≥80% reciprocal overlap, 50%-80% reciprocal overlap, and remaining overlap. </w:t>
      </w:r>
    </w:p>
    <w:p w14:paraId="2AC45E92" w14:textId="77777777" w:rsidR="00F70568" w:rsidRPr="00225DF3" w:rsidRDefault="00F70568" w:rsidP="00F70568">
      <w:pPr>
        <w:pStyle w:val="NormalWeb"/>
        <w:spacing w:before="0" w:beforeAutospacing="0" w:after="0" w:afterAutospacing="0"/>
        <w:rPr>
          <w:color w:val="0E0E0E"/>
        </w:rPr>
      </w:pPr>
      <w:r w:rsidRPr="00225DF3">
        <w:rPr>
          <w:b/>
          <w:bCs/>
          <w:color w:val="0E0E0E"/>
        </w:rPr>
        <w:t>(b)</w:t>
      </w:r>
      <w:r w:rsidRPr="00225DF3">
        <w:rPr>
          <w:color w:val="0E0E0E"/>
        </w:rPr>
        <w:t xml:space="preserve"> Bar plot illustrating the active rates of all types of </w:t>
      </w:r>
      <w:proofErr w:type="spellStart"/>
      <w:r w:rsidRPr="00225DF3">
        <w:rPr>
          <w:color w:val="0E0E0E"/>
        </w:rPr>
        <w:t>cCREs</w:t>
      </w:r>
      <w:proofErr w:type="spellEnd"/>
      <w:r w:rsidRPr="00225DF3">
        <w:rPr>
          <w:color w:val="0E0E0E"/>
        </w:rPr>
        <w:t xml:space="preserve"> in </w:t>
      </w:r>
      <w:proofErr w:type="spellStart"/>
      <w:r w:rsidRPr="00225DF3">
        <w:rPr>
          <w:color w:val="0E0E0E"/>
        </w:rPr>
        <w:t>LentiMPRA</w:t>
      </w:r>
      <w:proofErr w:type="spellEnd"/>
      <w:r w:rsidRPr="00225DF3">
        <w:rPr>
          <w:color w:val="0E0E0E"/>
        </w:rPr>
        <w:t>, ATAC-STARR-seq and WHG-STARR-seq, stratified by overlap extent.  </w:t>
      </w:r>
    </w:p>
    <w:p w14:paraId="4A6CC621" w14:textId="77777777" w:rsidR="00F70568" w:rsidRPr="00225DF3" w:rsidRDefault="00F70568" w:rsidP="00F70568">
      <w:pPr>
        <w:pStyle w:val="NormalWeb"/>
        <w:spacing w:before="0" w:beforeAutospacing="0" w:after="0" w:afterAutospacing="0"/>
        <w:rPr>
          <w:color w:val="0E0E0E"/>
        </w:rPr>
      </w:pPr>
      <w:r w:rsidRPr="00225DF3">
        <w:rPr>
          <w:b/>
          <w:bCs/>
          <w:color w:val="0E0E0E"/>
        </w:rPr>
        <w:t>(c)</w:t>
      </w:r>
      <w:r w:rsidRPr="00225DF3">
        <w:rPr>
          <w:color w:val="0E0E0E"/>
        </w:rPr>
        <w:t xml:space="preserve"> Bar plot showing the active rates of all regions not overlapping with any </w:t>
      </w:r>
      <w:proofErr w:type="spellStart"/>
      <w:r w:rsidRPr="00225DF3">
        <w:rPr>
          <w:color w:val="0E0E0E"/>
        </w:rPr>
        <w:t>cCREs</w:t>
      </w:r>
      <w:proofErr w:type="spellEnd"/>
      <w:r w:rsidRPr="00225DF3">
        <w:rPr>
          <w:color w:val="0E0E0E"/>
        </w:rPr>
        <w:t xml:space="preserve"> in </w:t>
      </w:r>
      <w:proofErr w:type="spellStart"/>
      <w:r w:rsidRPr="00225DF3">
        <w:rPr>
          <w:color w:val="0E0E0E"/>
        </w:rPr>
        <w:t>LentiMPRA</w:t>
      </w:r>
      <w:proofErr w:type="spellEnd"/>
      <w:r w:rsidRPr="00225DF3">
        <w:rPr>
          <w:color w:val="0E0E0E"/>
        </w:rPr>
        <w:t xml:space="preserve">, ATAC-STARR-seq and WHG-STARR-seq. </w:t>
      </w:r>
    </w:p>
    <w:p w14:paraId="49F9B794" w14:textId="77777777" w:rsidR="00F70568" w:rsidRPr="00225DF3" w:rsidRDefault="00F70568" w:rsidP="00F70568">
      <w:pPr>
        <w:pStyle w:val="NormalWeb"/>
        <w:spacing w:before="0" w:beforeAutospacing="0" w:after="0" w:afterAutospacing="0"/>
      </w:pPr>
      <w:r w:rsidRPr="00225DF3">
        <w:rPr>
          <w:b/>
          <w:bCs/>
          <w:color w:val="0E0E0E"/>
        </w:rPr>
        <w:t>(d)</w:t>
      </w:r>
      <w:r w:rsidRPr="00225DF3">
        <w:rPr>
          <w:color w:val="0E0E0E"/>
        </w:rPr>
        <w:t xml:space="preserve"> Stacked bar plot displaying the coverage of divergent, unidirectional, and convergent elements identified by GRO-cap, categorized by their overlap extent across </w:t>
      </w:r>
      <w:proofErr w:type="spellStart"/>
      <w:r w:rsidRPr="00225DF3">
        <w:rPr>
          <w:color w:val="0E0E0E"/>
        </w:rPr>
        <w:t>LentiMPRA</w:t>
      </w:r>
      <w:proofErr w:type="spellEnd"/>
      <w:r w:rsidRPr="00225DF3">
        <w:rPr>
          <w:color w:val="0E0E0E"/>
        </w:rPr>
        <w:t>, ATAC-STARR-seq and WHG-STARR-seq.</w:t>
      </w:r>
    </w:p>
    <w:p w14:paraId="0C048F92" w14:textId="77777777" w:rsidR="00F70568" w:rsidRPr="00225DF3" w:rsidRDefault="00F70568" w:rsidP="00F70568">
      <w:pPr>
        <w:pStyle w:val="NormalWeb"/>
        <w:spacing w:before="0" w:beforeAutospacing="0" w:after="0" w:afterAutospacing="0"/>
        <w:rPr>
          <w:color w:val="0E0E0E"/>
        </w:rPr>
      </w:pPr>
      <w:r w:rsidRPr="00225DF3">
        <w:rPr>
          <w:b/>
          <w:bCs/>
          <w:color w:val="0E0E0E"/>
        </w:rPr>
        <w:t>(e)</w:t>
      </w:r>
      <w:r w:rsidRPr="00225DF3">
        <w:rPr>
          <w:color w:val="0E0E0E"/>
        </w:rPr>
        <w:t xml:space="preserve"> Bar plot showing the active rates of all types of GRO-cap elements in </w:t>
      </w:r>
      <w:proofErr w:type="spellStart"/>
      <w:r w:rsidRPr="00225DF3">
        <w:rPr>
          <w:color w:val="0E0E0E"/>
        </w:rPr>
        <w:t>LentiMPRA</w:t>
      </w:r>
      <w:proofErr w:type="spellEnd"/>
      <w:r w:rsidRPr="00225DF3">
        <w:rPr>
          <w:color w:val="0E0E0E"/>
        </w:rPr>
        <w:t>, ATAC-STARR-seq and WHG-STARR-seq, stratified by overlap extent. </w:t>
      </w:r>
    </w:p>
    <w:p w14:paraId="26048F9C" w14:textId="77777777" w:rsidR="00F70568" w:rsidRDefault="00F70568" w:rsidP="00F70568">
      <w:pPr>
        <w:pStyle w:val="NormalWeb"/>
        <w:spacing w:before="0" w:beforeAutospacing="0" w:after="0" w:afterAutospacing="0"/>
      </w:pPr>
      <w:r w:rsidRPr="00225DF3">
        <w:rPr>
          <w:b/>
          <w:bCs/>
          <w:color w:val="0E0E0E"/>
        </w:rPr>
        <w:t>(f)</w:t>
      </w:r>
      <w:r w:rsidRPr="00225DF3">
        <w:rPr>
          <w:color w:val="0E0E0E"/>
        </w:rPr>
        <w:t xml:space="preserve"> </w:t>
      </w:r>
      <w:r w:rsidRPr="00225DF3">
        <w:t>Bar plot showing the active rates of regions that do not overlap with GRO-cap elements, stratified by the presence or absence of transcription as measured by GRO-cap signals.</w:t>
      </w:r>
    </w:p>
    <w:p w14:paraId="180616A9" w14:textId="77777777" w:rsidR="00F70568" w:rsidRDefault="00F70568" w:rsidP="00F70568">
      <w:pPr>
        <w:pStyle w:val="NormalWeb"/>
        <w:spacing w:before="0" w:beforeAutospacing="0" w:after="0" w:afterAutospacing="0"/>
      </w:pPr>
    </w:p>
    <w:p w14:paraId="6F29831B" w14:textId="77777777" w:rsidR="00332AFC" w:rsidRDefault="00332AFC">
      <w:pPr>
        <w:rPr>
          <w:rFonts w:ascii="Times New Roman" w:eastAsia="Times New Roman" w:hAnsi="Times New Roman" w:cs="Times New Roman"/>
          <w:b/>
          <w:bCs/>
          <w:color w:val="0E0E0E"/>
          <w:kern w:val="0"/>
          <w14:ligatures w14:val="none"/>
        </w:rPr>
      </w:pPr>
      <w:r>
        <w:rPr>
          <w:b/>
          <w:bCs/>
          <w:color w:val="0E0E0E"/>
        </w:rPr>
        <w:br w:type="page"/>
      </w:r>
    </w:p>
    <w:p w14:paraId="1DEEAE89" w14:textId="5E2B6A15" w:rsidR="00332AFC" w:rsidRDefault="003B2E00" w:rsidP="00F70568">
      <w:pPr>
        <w:pStyle w:val="NormalWeb"/>
        <w:spacing w:before="0" w:beforeAutospacing="0" w:after="0" w:afterAutospacing="0"/>
        <w:rPr>
          <w:b/>
          <w:bCs/>
          <w:color w:val="0E0E0E"/>
        </w:rPr>
      </w:pPr>
      <w:r>
        <w:rPr>
          <w:b/>
          <w:bCs/>
          <w:noProof/>
          <w:color w:val="0E0E0E"/>
          <w14:ligatures w14:val="standardContextual"/>
        </w:rPr>
        <w:lastRenderedPageBreak/>
        <w:drawing>
          <wp:inline distT="0" distB="0" distL="0" distR="0" wp14:anchorId="42919194" wp14:editId="167BA1C2">
            <wp:extent cx="5829300" cy="7543800"/>
            <wp:effectExtent l="0" t="0" r="0" b="0"/>
            <wp:docPr id="2096014102"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014102" name="Graphic 2096014102"/>
                    <pic:cNvPicPr/>
                  </pic:nvPicPr>
                  <pic:blipFill>
                    <a:blip r:embed="rId16">
                      <a:extLst>
                        <a:ext uri="{96DAC541-7B7A-43D3-8B79-37D633B846F1}">
                          <asvg:svgBlip xmlns:asvg="http://schemas.microsoft.com/office/drawing/2016/SVG/main" r:embed="rId17"/>
                        </a:ext>
                      </a:extLst>
                    </a:blip>
                    <a:stretch>
                      <a:fillRect/>
                    </a:stretch>
                  </pic:blipFill>
                  <pic:spPr>
                    <a:xfrm>
                      <a:off x="0" y="0"/>
                      <a:ext cx="5829300" cy="7543800"/>
                    </a:xfrm>
                    <a:prstGeom prst="rect">
                      <a:avLst/>
                    </a:prstGeom>
                  </pic:spPr>
                </pic:pic>
              </a:graphicData>
            </a:graphic>
          </wp:inline>
        </w:drawing>
      </w:r>
    </w:p>
    <w:p w14:paraId="45AAA8F6" w14:textId="77777777" w:rsidR="00FF4143" w:rsidRDefault="00FF4143">
      <w:pPr>
        <w:rPr>
          <w:rFonts w:ascii="Times New Roman" w:eastAsia="Times New Roman" w:hAnsi="Times New Roman" w:cs="Times New Roman"/>
          <w:b/>
          <w:bCs/>
          <w:color w:val="0E0E0E"/>
          <w:kern w:val="0"/>
          <w14:ligatures w14:val="none"/>
        </w:rPr>
      </w:pPr>
      <w:r>
        <w:rPr>
          <w:b/>
          <w:bCs/>
          <w:color w:val="0E0E0E"/>
        </w:rPr>
        <w:br w:type="page"/>
      </w:r>
    </w:p>
    <w:p w14:paraId="3CA013B5" w14:textId="746444A7" w:rsidR="00F70568" w:rsidRPr="00E73EE0" w:rsidRDefault="00F70568" w:rsidP="00F70568">
      <w:pPr>
        <w:pStyle w:val="NormalWeb"/>
        <w:spacing w:before="0" w:beforeAutospacing="0" w:after="0" w:afterAutospacing="0"/>
        <w:rPr>
          <w:color w:val="0E0E0E"/>
        </w:rPr>
      </w:pPr>
      <w:r w:rsidRPr="00225DF3">
        <w:rPr>
          <w:b/>
          <w:bCs/>
          <w:color w:val="0E0E0E"/>
        </w:rPr>
        <w:lastRenderedPageBreak/>
        <w:t xml:space="preserve">Figure </w:t>
      </w:r>
      <w:r>
        <w:rPr>
          <w:b/>
          <w:bCs/>
          <w:color w:val="0E0E0E"/>
        </w:rPr>
        <w:t>S</w:t>
      </w:r>
      <w:r w:rsidRPr="00225DF3">
        <w:rPr>
          <w:b/>
          <w:bCs/>
          <w:color w:val="0E0E0E"/>
        </w:rPr>
        <w:t xml:space="preserve">6. Influence of </w:t>
      </w:r>
      <w:r>
        <w:rPr>
          <w:b/>
          <w:bCs/>
          <w:color w:val="0E0E0E"/>
        </w:rPr>
        <w:t>t</w:t>
      </w:r>
      <w:r w:rsidRPr="00225DF3">
        <w:rPr>
          <w:b/>
          <w:bCs/>
          <w:color w:val="0E0E0E"/>
        </w:rPr>
        <w:t xml:space="preserve">ranscription </w:t>
      </w:r>
      <w:r>
        <w:rPr>
          <w:b/>
          <w:bCs/>
          <w:color w:val="0E0E0E"/>
        </w:rPr>
        <w:t>l</w:t>
      </w:r>
      <w:r w:rsidRPr="00225DF3">
        <w:rPr>
          <w:b/>
          <w:bCs/>
          <w:color w:val="0E0E0E"/>
        </w:rPr>
        <w:t xml:space="preserve">evels on </w:t>
      </w:r>
      <w:r>
        <w:rPr>
          <w:b/>
          <w:bCs/>
          <w:color w:val="0E0E0E"/>
        </w:rPr>
        <w:t>c</w:t>
      </w:r>
      <w:r w:rsidRPr="00225DF3">
        <w:rPr>
          <w:b/>
          <w:bCs/>
          <w:color w:val="0E0E0E"/>
        </w:rPr>
        <w:t>ross-</w:t>
      </w:r>
      <w:r>
        <w:rPr>
          <w:b/>
          <w:bCs/>
          <w:color w:val="0E0E0E"/>
        </w:rPr>
        <w:t>a</w:t>
      </w:r>
      <w:r w:rsidRPr="00225DF3">
        <w:rPr>
          <w:b/>
          <w:bCs/>
          <w:color w:val="0E0E0E"/>
        </w:rPr>
        <w:t xml:space="preserve">ssay </w:t>
      </w:r>
      <w:r>
        <w:rPr>
          <w:b/>
          <w:bCs/>
          <w:color w:val="0E0E0E"/>
        </w:rPr>
        <w:t>c</w:t>
      </w:r>
      <w:r w:rsidRPr="00225DF3">
        <w:rPr>
          <w:b/>
          <w:bCs/>
          <w:color w:val="0E0E0E"/>
        </w:rPr>
        <w:t xml:space="preserve">omparisons on </w:t>
      </w:r>
      <w:r>
        <w:rPr>
          <w:b/>
          <w:bCs/>
          <w:color w:val="0E0E0E"/>
        </w:rPr>
        <w:t>e</w:t>
      </w:r>
      <w:r w:rsidRPr="00225DF3">
        <w:rPr>
          <w:b/>
          <w:bCs/>
          <w:color w:val="0E0E0E"/>
        </w:rPr>
        <w:t xml:space="preserve">nhancer </w:t>
      </w:r>
      <w:r>
        <w:rPr>
          <w:b/>
          <w:bCs/>
          <w:color w:val="0E0E0E"/>
        </w:rPr>
        <w:t>i</w:t>
      </w:r>
      <w:r w:rsidRPr="00225DF3">
        <w:rPr>
          <w:b/>
          <w:bCs/>
          <w:color w:val="0E0E0E"/>
        </w:rPr>
        <w:t>dentification</w:t>
      </w:r>
      <w:r w:rsidRPr="00225DF3">
        <w:rPr>
          <w:color w:val="0E0E0E"/>
        </w:rPr>
        <w:t> </w:t>
      </w:r>
    </w:p>
    <w:p w14:paraId="6420D713" w14:textId="77777777" w:rsidR="00F70568" w:rsidRPr="00225DF3" w:rsidRDefault="00F70568" w:rsidP="00F70568">
      <w:pPr>
        <w:pStyle w:val="NormalWeb"/>
        <w:spacing w:before="0" w:beforeAutospacing="0" w:after="0" w:afterAutospacing="0"/>
      </w:pPr>
      <w:r w:rsidRPr="00225DF3">
        <w:rPr>
          <w:b/>
          <w:bCs/>
          <w:color w:val="0E0E0E"/>
        </w:rPr>
        <w:t>(a, b, c,</w:t>
      </w:r>
      <w:r>
        <w:rPr>
          <w:b/>
          <w:bCs/>
          <w:color w:val="0E0E0E"/>
        </w:rPr>
        <w:t xml:space="preserve"> </w:t>
      </w:r>
      <w:r w:rsidRPr="00225DF3">
        <w:rPr>
          <w:b/>
          <w:bCs/>
          <w:color w:val="0E0E0E"/>
        </w:rPr>
        <w:t>d)</w:t>
      </w:r>
      <w:r w:rsidRPr="00225DF3">
        <w:rPr>
          <w:color w:val="0E0E0E"/>
        </w:rPr>
        <w:t xml:space="preserve"> Heatmaps showing the number of commonly active tested regions between assays under the ≥50% reciprocal overlap criterion with none (a), low (b), medium (c) and high (d) transcription levels, as defined by GRO-cap signal. Each cell represents the ratio of the number of enhancer regions in the row dataset that overlap with enhancer regions in the column dataset to the number of enhancer regions in the row dataset overlapping with tested regions in the column dataset. Diagonal cells display the total number of enhancer regions identified in each dataset. </w:t>
      </w:r>
    </w:p>
    <w:p w14:paraId="715ED204" w14:textId="77777777" w:rsidR="00324C5E" w:rsidRDefault="00324C5E"/>
    <w:sectPr w:rsidR="00324C5E">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panose1 w:val="020B0004020202020204"/>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Aptos Display">
    <w:panose1 w:val="020B0004020202020204"/>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2"/>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70568"/>
    <w:rsid w:val="00000349"/>
    <w:rsid w:val="00192F3D"/>
    <w:rsid w:val="002E490A"/>
    <w:rsid w:val="00324C5E"/>
    <w:rsid w:val="00332AFC"/>
    <w:rsid w:val="00392063"/>
    <w:rsid w:val="003B2E00"/>
    <w:rsid w:val="00C14807"/>
    <w:rsid w:val="00C321C8"/>
    <w:rsid w:val="00DB7DBA"/>
    <w:rsid w:val="00F70568"/>
    <w:rsid w:val="00FF414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4:docId w14:val="3AA20D3B"/>
  <w15:chartTrackingRefBased/>
  <w15:docId w15:val="{897E2237-ECC8-BE4A-B5D8-6A2A1FBFB0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F7056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F7056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F70568"/>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F70568"/>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F70568"/>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F7056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F7056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F7056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F7056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70568"/>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F70568"/>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F70568"/>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F70568"/>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F70568"/>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F7056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F7056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F7056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F70568"/>
    <w:rPr>
      <w:rFonts w:eastAsiaTheme="majorEastAsia" w:cstheme="majorBidi"/>
      <w:color w:val="272727" w:themeColor="text1" w:themeTint="D8"/>
    </w:rPr>
  </w:style>
  <w:style w:type="paragraph" w:styleId="Title">
    <w:name w:val="Title"/>
    <w:basedOn w:val="Normal"/>
    <w:next w:val="Normal"/>
    <w:link w:val="TitleChar"/>
    <w:uiPriority w:val="10"/>
    <w:qFormat/>
    <w:rsid w:val="00F7056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7056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F7056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F7056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F70568"/>
    <w:pPr>
      <w:spacing w:before="160"/>
      <w:jc w:val="center"/>
    </w:pPr>
    <w:rPr>
      <w:i/>
      <w:iCs/>
      <w:color w:val="404040" w:themeColor="text1" w:themeTint="BF"/>
    </w:rPr>
  </w:style>
  <w:style w:type="character" w:customStyle="1" w:styleId="QuoteChar">
    <w:name w:val="Quote Char"/>
    <w:basedOn w:val="DefaultParagraphFont"/>
    <w:link w:val="Quote"/>
    <w:uiPriority w:val="29"/>
    <w:rsid w:val="00F70568"/>
    <w:rPr>
      <w:i/>
      <w:iCs/>
      <w:color w:val="404040" w:themeColor="text1" w:themeTint="BF"/>
    </w:rPr>
  </w:style>
  <w:style w:type="paragraph" w:styleId="ListParagraph">
    <w:name w:val="List Paragraph"/>
    <w:basedOn w:val="Normal"/>
    <w:uiPriority w:val="34"/>
    <w:qFormat/>
    <w:rsid w:val="00F70568"/>
    <w:pPr>
      <w:ind w:left="720"/>
      <w:contextualSpacing/>
    </w:pPr>
  </w:style>
  <w:style w:type="character" w:styleId="IntenseEmphasis">
    <w:name w:val="Intense Emphasis"/>
    <w:basedOn w:val="DefaultParagraphFont"/>
    <w:uiPriority w:val="21"/>
    <w:qFormat/>
    <w:rsid w:val="00F70568"/>
    <w:rPr>
      <w:i/>
      <w:iCs/>
      <w:color w:val="0F4761" w:themeColor="accent1" w:themeShade="BF"/>
    </w:rPr>
  </w:style>
  <w:style w:type="paragraph" w:styleId="IntenseQuote">
    <w:name w:val="Intense Quote"/>
    <w:basedOn w:val="Normal"/>
    <w:next w:val="Normal"/>
    <w:link w:val="IntenseQuoteChar"/>
    <w:uiPriority w:val="30"/>
    <w:qFormat/>
    <w:rsid w:val="00F7056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F70568"/>
    <w:rPr>
      <w:i/>
      <w:iCs/>
      <w:color w:val="0F4761" w:themeColor="accent1" w:themeShade="BF"/>
    </w:rPr>
  </w:style>
  <w:style w:type="character" w:styleId="IntenseReference">
    <w:name w:val="Intense Reference"/>
    <w:basedOn w:val="DefaultParagraphFont"/>
    <w:uiPriority w:val="32"/>
    <w:qFormat/>
    <w:rsid w:val="00F70568"/>
    <w:rPr>
      <w:b/>
      <w:bCs/>
      <w:smallCaps/>
      <w:color w:val="0F4761" w:themeColor="accent1" w:themeShade="BF"/>
      <w:spacing w:val="5"/>
    </w:rPr>
  </w:style>
  <w:style w:type="paragraph" w:styleId="NormalWeb">
    <w:name w:val="Normal (Web)"/>
    <w:basedOn w:val="Normal"/>
    <w:uiPriority w:val="99"/>
    <w:unhideWhenUsed/>
    <w:rsid w:val="00F70568"/>
    <w:pPr>
      <w:spacing w:before="100" w:beforeAutospacing="1" w:after="100" w:afterAutospacing="1" w:line="240" w:lineRule="auto"/>
    </w:pPr>
    <w:rPr>
      <w:rFonts w:ascii="Times New Roman" w:eastAsia="Times New Roman" w:hAnsi="Times New Roman" w:cs="Times New Roman"/>
      <w:kern w:val="0"/>
      <w14:ligatures w14:val="none"/>
    </w:rPr>
  </w:style>
  <w:style w:type="character" w:styleId="LineNumber">
    <w:name w:val="line number"/>
    <w:basedOn w:val="DefaultParagraphFont"/>
    <w:uiPriority w:val="99"/>
    <w:semiHidden/>
    <w:unhideWhenUsed/>
    <w:rsid w:val="00000349"/>
  </w:style>
  <w:style w:type="character" w:styleId="Hyperlink">
    <w:name w:val="Hyperlink"/>
    <w:basedOn w:val="DefaultParagraphFont"/>
    <w:uiPriority w:val="99"/>
    <w:unhideWhenUsed/>
    <w:rsid w:val="00000349"/>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svg"/><Relationship Id="rId1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svg"/><Relationship Id="rId12" Type="http://schemas.openxmlformats.org/officeDocument/2006/relationships/image" Target="media/image7.png"/><Relationship Id="rId17" Type="http://schemas.openxmlformats.org/officeDocument/2006/relationships/image" Target="media/image12.svg"/><Relationship Id="rId2" Type="http://schemas.openxmlformats.org/officeDocument/2006/relationships/settings" Target="settings.xml"/><Relationship Id="rId16" Type="http://schemas.openxmlformats.org/officeDocument/2006/relationships/image" Target="media/image11.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svg"/><Relationship Id="rId5" Type="http://schemas.openxmlformats.org/officeDocument/2006/relationships/hyperlink" Target="mailto:haiyuan.yu@cornell.edu" TargetMode="External"/><Relationship Id="rId15" Type="http://schemas.openxmlformats.org/officeDocument/2006/relationships/image" Target="media/image10.svg"/><Relationship Id="rId10" Type="http://schemas.openxmlformats.org/officeDocument/2006/relationships/image" Target="media/image5.png"/><Relationship Id="rId19" Type="http://schemas.openxmlformats.org/officeDocument/2006/relationships/theme" Target="theme/theme1.xml"/><Relationship Id="rId4" Type="http://schemas.openxmlformats.org/officeDocument/2006/relationships/hyperlink" Target="mailto:johnlis@cornell.edu" TargetMode="External"/><Relationship Id="rId9" Type="http://schemas.openxmlformats.org/officeDocument/2006/relationships/image" Target="media/image4.sv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1</TotalTime>
  <Pages>13</Pages>
  <Words>757</Words>
  <Characters>4320</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Junke Zhang</dc:creator>
  <cp:keywords/>
  <dc:description/>
  <cp:lastModifiedBy>Zhang, Junke</cp:lastModifiedBy>
  <cp:revision>2</cp:revision>
  <dcterms:created xsi:type="dcterms:W3CDTF">2025-10-07T02:04:00Z</dcterms:created>
  <dcterms:modified xsi:type="dcterms:W3CDTF">2025-10-07T02:04:00Z</dcterms:modified>
</cp:coreProperties>
</file>